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205" w:rsidRDefault="00CF2CAD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6F12B8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>.10</w:t>
      </w:r>
      <w:r w:rsidR="002808C5">
        <w:rPr>
          <w:b/>
          <w:color w:val="000000"/>
          <w:sz w:val="22"/>
          <w:szCs w:val="22"/>
        </w:rPr>
        <w:t xml:space="preserve"> </w:t>
      </w:r>
      <w:r w:rsidR="002808C5">
        <w:rPr>
          <w:b/>
          <w:sz w:val="22"/>
          <w:szCs w:val="22"/>
        </w:rPr>
        <w:t xml:space="preserve">do </w:t>
      </w:r>
      <w:r w:rsidR="006F12B8">
        <w:rPr>
          <w:b/>
          <w:sz w:val="22"/>
          <w:szCs w:val="22"/>
        </w:rPr>
        <w:t>SWZ</w:t>
      </w:r>
      <w:bookmarkStart w:id="0" w:name="_GoBack"/>
      <w:bookmarkEnd w:id="0"/>
      <w:r w:rsidR="002808C5">
        <w:rPr>
          <w:b/>
          <w:sz w:val="22"/>
          <w:szCs w:val="22"/>
        </w:rPr>
        <w:t>/</w:t>
      </w:r>
    </w:p>
    <w:p w:rsidR="00682205" w:rsidRDefault="002808C5">
      <w:pPr>
        <w:pStyle w:val="Standard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umowy</w:t>
      </w:r>
    </w:p>
    <w:p w:rsidR="00682205" w:rsidRDefault="00682205">
      <w:pPr>
        <w:pStyle w:val="Standard"/>
        <w:widowControl w:val="0"/>
        <w:jc w:val="center"/>
        <w:rPr>
          <w:b/>
          <w:bCs/>
        </w:rPr>
      </w:pPr>
    </w:p>
    <w:p w:rsidR="00682205" w:rsidRDefault="00682205">
      <w:pPr>
        <w:pStyle w:val="Standard"/>
        <w:widowControl w:val="0"/>
        <w:jc w:val="center"/>
        <w:rPr>
          <w:b/>
          <w:bCs/>
        </w:rPr>
      </w:pPr>
    </w:p>
    <w:p w:rsidR="00682205" w:rsidRDefault="002808C5">
      <w:pPr>
        <w:pStyle w:val="Standard"/>
        <w:widowControl w:val="0"/>
        <w:jc w:val="center"/>
        <w:rPr>
          <w:b/>
          <w:bCs/>
        </w:rPr>
      </w:pPr>
      <w:r>
        <w:rPr>
          <w:b/>
          <w:bCs/>
        </w:rPr>
        <w:t>OPIS PR</w:t>
      </w:r>
      <w:r w:rsidR="00CF7E59">
        <w:rPr>
          <w:b/>
          <w:bCs/>
        </w:rPr>
        <w:t>ZEDMIOTU ZAMÓWIENIA - Część nr 10</w:t>
      </w:r>
    </w:p>
    <w:p w:rsidR="00682205" w:rsidRDefault="00682205">
      <w:pPr>
        <w:pStyle w:val="Standard"/>
        <w:widowControl w:val="0"/>
        <w:rPr>
          <w:b/>
          <w:u w:val="single"/>
        </w:rPr>
      </w:pPr>
    </w:p>
    <w:p w:rsidR="00682205" w:rsidRDefault="002808C5" w:rsidP="00CF7E59">
      <w:pPr>
        <w:pStyle w:val="Standard"/>
        <w:jc w:val="both"/>
      </w:pPr>
      <w:r>
        <w:rPr>
          <w:rFonts w:eastAsia="Andale Sans UI"/>
        </w:rPr>
        <w:t>Przedmiot zamówienia obejmuje</w:t>
      </w:r>
      <w:r>
        <w:rPr>
          <w:rFonts w:eastAsia="Andale Sans UI"/>
          <w:color w:val="000000"/>
          <w:spacing w:val="-2"/>
        </w:rPr>
        <w:t xml:space="preserve"> </w:t>
      </w:r>
      <w:r>
        <w:rPr>
          <w:rFonts w:eastAsia="Andale Sans UI"/>
          <w:bCs/>
        </w:rPr>
        <w:t xml:space="preserve">dostawę do wskazanego przez Zamawiającego miejsca, </w:t>
      </w:r>
      <w:r w:rsidR="00CF7E59">
        <w:rPr>
          <w:rFonts w:eastAsia="Andale Sans UI"/>
          <w:bCs/>
        </w:rPr>
        <w:t>sprzętu i oprogramowania informatyki śledczej</w:t>
      </w:r>
      <w:r>
        <w:rPr>
          <w:rFonts w:eastAsia="Andale Sans UI"/>
          <w:bCs/>
        </w:rPr>
        <w:t>,  zgodnie z przedstawionym zestawieniem i specyfikacją.</w:t>
      </w:r>
    </w:p>
    <w:p w:rsidR="00CF7E59" w:rsidRDefault="00CF7E59" w:rsidP="00CF7E59">
      <w:pPr>
        <w:pStyle w:val="Standard"/>
        <w:jc w:val="both"/>
        <w:rPr>
          <w:rFonts w:eastAsia="Andale Sans UI"/>
          <w:bCs/>
          <w:kern w:val="3"/>
        </w:rPr>
      </w:pPr>
    </w:p>
    <w:p w:rsidR="00CF7E59" w:rsidRDefault="00CF7E59" w:rsidP="00CF7E59">
      <w:pPr>
        <w:pStyle w:val="Standard"/>
        <w:jc w:val="both"/>
        <w:rPr>
          <w:rFonts w:eastAsia="Andale Sans UI"/>
          <w:bCs/>
        </w:rPr>
      </w:pPr>
      <w:r>
        <w:rPr>
          <w:rFonts w:eastAsia="Andale Sans UI"/>
          <w:bCs/>
          <w:kern w:val="3"/>
        </w:rPr>
        <w:t>Jeżeli w opisie przedmiotu zamówienia wskazano jakikolwiek znak towarowy, patent czy pochodzenie,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użytkowych.</w:t>
      </w:r>
    </w:p>
    <w:p w:rsidR="00CF7E59" w:rsidRDefault="00CF7E59" w:rsidP="00CF7E59">
      <w:pPr>
        <w:pStyle w:val="Standard"/>
        <w:jc w:val="both"/>
        <w:rPr>
          <w:rFonts w:eastAsia="Andale Sans UI"/>
          <w:bCs/>
          <w:kern w:val="3"/>
        </w:rPr>
      </w:pPr>
      <w:r>
        <w:rPr>
          <w:rFonts w:eastAsia="Andale Sans UI"/>
          <w:bCs/>
          <w:kern w:val="3"/>
        </w:rPr>
        <w:t>Wszystkie opisane parametry wymagane są wymaganiami minimalnymi. Zamawiający akceptuje rozwiązania o parametrach równoważnych lub lepszych, bez utraty funkcjonalności i wydajności.</w:t>
      </w:r>
    </w:p>
    <w:p w:rsidR="004E4B51" w:rsidRDefault="004E4B51" w:rsidP="00CF7E59">
      <w:pPr>
        <w:pStyle w:val="Standard"/>
        <w:jc w:val="both"/>
        <w:rPr>
          <w:rFonts w:eastAsia="Andale Sans UI"/>
          <w:bCs/>
        </w:rPr>
      </w:pPr>
    </w:p>
    <w:p w:rsidR="00C10E3F" w:rsidRDefault="00C10E3F" w:rsidP="00CF7E59">
      <w:pPr>
        <w:pStyle w:val="Standard"/>
        <w:jc w:val="both"/>
        <w:rPr>
          <w:rFonts w:eastAsia="Andale Sans UI"/>
          <w:bCs/>
        </w:rPr>
      </w:pPr>
    </w:p>
    <w:p w:rsidR="00682205" w:rsidRDefault="00682205" w:rsidP="00CF7E59">
      <w:pPr>
        <w:pStyle w:val="Standard"/>
        <w:jc w:val="both"/>
        <w:rPr>
          <w:rFonts w:eastAsia="Andale Sans UI"/>
          <w:bCs/>
        </w:rPr>
      </w:pPr>
    </w:p>
    <w:tbl>
      <w:tblPr>
        <w:tblW w:w="76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5101"/>
        <w:gridCol w:w="1748"/>
      </w:tblGrid>
      <w:tr w:rsidR="00682205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682205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CF7E59" w:rsidP="00CF7E59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kern w:val="3"/>
              </w:rPr>
              <w:t>Upgrade oprogramowania informatyki śledczej typ 1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CF7E59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682205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CF7E59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kern w:val="3"/>
              </w:rPr>
              <w:t>Aktualizacja oprogramowania informatyki śledczej typ 2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CF7E59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682205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CF7E59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kern w:val="3"/>
              </w:rPr>
              <w:t>Oprogramowanie informatyki śledczej typ 3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CF7E59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682205" w:rsidTr="002808C5">
        <w:trPr>
          <w:trHeight w:val="513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1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2205" w:rsidRDefault="00CF7E59">
            <w:pPr>
              <w:pStyle w:val="Standard"/>
              <w:suppressAutoHyphens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Duplikator nośników informatycznych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2205" w:rsidRDefault="00CF7E59" w:rsidP="002808C5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:rsidR="00682205" w:rsidRDefault="00682205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b/>
          <w:bCs/>
        </w:rPr>
      </w:pPr>
    </w:p>
    <w:p w:rsidR="00C10E3F" w:rsidRDefault="00C10E3F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b/>
          <w:bCs/>
        </w:rPr>
      </w:pPr>
    </w:p>
    <w:p w:rsidR="004E4B51" w:rsidRDefault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  <w:rPr>
          <w:b/>
          <w:bCs/>
        </w:rPr>
      </w:pPr>
    </w:p>
    <w:p w:rsidR="004E4B51" w:rsidRPr="00C10E3F" w:rsidRDefault="004E4B51" w:rsidP="004E4B51">
      <w:pPr>
        <w:pStyle w:val="Standard"/>
        <w:widowControl w:val="0"/>
        <w:numPr>
          <w:ilvl w:val="0"/>
          <w:numId w:val="16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  <w:r>
        <w:rPr>
          <w:b/>
          <w:bCs/>
          <w:kern w:val="3"/>
        </w:rPr>
        <w:t>Upgrade oprogramowania informatyki śledczej typ 1</w:t>
      </w:r>
    </w:p>
    <w:p w:rsidR="00C10E3F" w:rsidRPr="004E4B51" w:rsidRDefault="00C10E3F" w:rsidP="00C10E3F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tbl>
      <w:tblPr>
        <w:tblW w:w="935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9"/>
        <w:gridCol w:w="6997"/>
      </w:tblGrid>
      <w:tr w:rsidR="00C10E3F" w:rsidTr="00C10E3F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C10E3F" w:rsidTr="00C10E3F">
        <w:trPr>
          <w:trHeight w:val="412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Licencja: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 lata od daty aktywacji.</w:t>
            </w:r>
          </w:p>
        </w:tc>
      </w:tr>
      <w:tr w:rsidR="00C10E3F" w:rsidTr="00C10E3F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Opis: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C10E3F">
            <w:pPr>
              <w:pStyle w:val="Textbody"/>
              <w:spacing w:after="0" w:line="360" w:lineRule="auto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Upgrade do wersji </w:t>
            </w:r>
            <w:proofErr w:type="spellStart"/>
            <w:r>
              <w:rPr>
                <w:rFonts w:eastAsia="Andale Sans UI" w:cs="Tahoma"/>
                <w:b/>
                <w:bCs/>
                <w:kern w:val="3"/>
              </w:rPr>
              <w:t>Xry</w:t>
            </w:r>
            <w:proofErr w:type="spellEnd"/>
            <w:r>
              <w:rPr>
                <w:rFonts w:eastAsia="Andale Sans UI" w:cs="Tahoma"/>
                <w:b/>
                <w:bCs/>
                <w:kern w:val="3"/>
              </w:rPr>
              <w:t>-Pro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oraz przedłużenie na kolejny okres licencyjny posiadanego przez zamawiającego oprogramowania </w:t>
            </w:r>
            <w:proofErr w:type="spellStart"/>
            <w:r>
              <w:rPr>
                <w:rFonts w:eastAsia="Andale Sans UI"/>
                <w:b/>
                <w:bCs/>
                <w:kern w:val="3"/>
              </w:rPr>
              <w:t>Xry</w:t>
            </w:r>
            <w:proofErr w:type="spellEnd"/>
            <w:r>
              <w:rPr>
                <w:rFonts w:eastAsia="Andale Sans UI"/>
                <w:b/>
                <w:bCs/>
                <w:kern w:val="3"/>
              </w:rPr>
              <w:t xml:space="preserve"> 10.8</w:t>
            </w:r>
          </w:p>
        </w:tc>
      </w:tr>
    </w:tbl>
    <w:p w:rsidR="00C10E3F" w:rsidRDefault="00C10E3F" w:rsidP="00C10E3F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</w:pPr>
    </w:p>
    <w:p w:rsidR="00C10E3F" w:rsidRPr="004E4B51" w:rsidRDefault="00C10E3F" w:rsidP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p w:rsidR="004E4B51" w:rsidRPr="00C10E3F" w:rsidRDefault="004E4B51" w:rsidP="004E4B51">
      <w:pPr>
        <w:pStyle w:val="Standard"/>
        <w:widowControl w:val="0"/>
        <w:numPr>
          <w:ilvl w:val="0"/>
          <w:numId w:val="16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  <w:r>
        <w:rPr>
          <w:b/>
          <w:bCs/>
          <w:kern w:val="3"/>
        </w:rPr>
        <w:t>Aktualizacja oprogramowania informatyki śledczej typ 2</w:t>
      </w:r>
    </w:p>
    <w:p w:rsidR="00C10E3F" w:rsidRPr="004E4B51" w:rsidRDefault="00C10E3F" w:rsidP="00C10E3F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tbl>
      <w:tblPr>
        <w:tblW w:w="935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9"/>
        <w:gridCol w:w="6997"/>
      </w:tblGrid>
      <w:tr w:rsidR="00C10E3F" w:rsidTr="00C10E3F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C10E3F" w:rsidTr="00C10E3F">
        <w:trPr>
          <w:trHeight w:val="425"/>
        </w:trPr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Subskrypcja: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 lata od daty aktywacji.</w:t>
            </w:r>
          </w:p>
        </w:tc>
      </w:tr>
      <w:tr w:rsidR="00C10E3F" w:rsidTr="00C10E3F"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Opis: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Pr="00C10E3F" w:rsidRDefault="00C10E3F" w:rsidP="00C10E3F">
            <w:pPr>
              <w:pStyle w:val="Standard"/>
              <w:tabs>
                <w:tab w:val="left" w:pos="0"/>
                <w:tab w:val="left" w:pos="720"/>
              </w:tabs>
              <w:suppressAutoHyphens w:val="0"/>
              <w:snapToGrid w:val="0"/>
              <w:spacing w:line="360" w:lineRule="auto"/>
              <w:rPr>
                <w:rFonts w:eastAsia="Andale Sans UI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Przedłużenie na kolejny okres licencyjny posiadanego przez zamawiającego oprogramowania </w:t>
            </w:r>
            <w:proofErr w:type="spellStart"/>
            <w:r>
              <w:rPr>
                <w:rFonts w:eastAsia="Andale Sans UI"/>
                <w:b/>
                <w:bCs/>
                <w:kern w:val="3"/>
              </w:rPr>
              <w:t>Sumuri</w:t>
            </w:r>
            <w:proofErr w:type="spellEnd"/>
            <w:r>
              <w:rPr>
                <w:rFonts w:eastAsia="Andale Sans UI"/>
                <w:b/>
                <w:bCs/>
                <w:kern w:val="3"/>
              </w:rPr>
              <w:t xml:space="preserve"> </w:t>
            </w:r>
            <w:proofErr w:type="spellStart"/>
            <w:r>
              <w:rPr>
                <w:rFonts w:eastAsia="Andale Sans UI"/>
                <w:b/>
                <w:bCs/>
                <w:kern w:val="3"/>
              </w:rPr>
              <w:t>Recon</w:t>
            </w:r>
            <w:proofErr w:type="spellEnd"/>
            <w:r>
              <w:rPr>
                <w:rFonts w:eastAsia="Andale Sans UI"/>
                <w:b/>
                <w:bCs/>
                <w:kern w:val="3"/>
              </w:rPr>
              <w:t xml:space="preserve"> ITR </w:t>
            </w:r>
            <w:proofErr w:type="spellStart"/>
            <w:r>
              <w:rPr>
                <w:rFonts w:eastAsia="Andale Sans UI"/>
                <w:b/>
                <w:bCs/>
                <w:kern w:val="3"/>
              </w:rPr>
              <w:t>ver</w:t>
            </w:r>
            <w:proofErr w:type="spellEnd"/>
            <w:r>
              <w:rPr>
                <w:rFonts w:eastAsia="Andale Sans UI"/>
                <w:b/>
                <w:bCs/>
                <w:kern w:val="3"/>
              </w:rPr>
              <w:t>. 1.2.4</w:t>
            </w:r>
          </w:p>
        </w:tc>
      </w:tr>
    </w:tbl>
    <w:p w:rsidR="00C10E3F" w:rsidRDefault="00C10E3F" w:rsidP="00C10E3F"/>
    <w:p w:rsidR="004E4B51" w:rsidRDefault="004E4B51" w:rsidP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p w:rsidR="00C10E3F" w:rsidRPr="004E4B51" w:rsidRDefault="00C10E3F" w:rsidP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p w:rsidR="004E4B51" w:rsidRPr="00C10E3F" w:rsidRDefault="004E4B51" w:rsidP="004E4B51">
      <w:pPr>
        <w:pStyle w:val="Standard"/>
        <w:widowControl w:val="0"/>
        <w:numPr>
          <w:ilvl w:val="0"/>
          <w:numId w:val="16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  <w:r>
        <w:rPr>
          <w:b/>
          <w:bCs/>
          <w:kern w:val="3"/>
        </w:rPr>
        <w:lastRenderedPageBreak/>
        <w:t>Oprogramowanie informatyki śledczej typ 3</w:t>
      </w:r>
    </w:p>
    <w:p w:rsidR="00C10E3F" w:rsidRPr="004E4B51" w:rsidRDefault="00C10E3F" w:rsidP="00C10E3F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p w:rsidR="00C10E3F" w:rsidRDefault="00C10E3F" w:rsidP="00C10E3F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</w:rPr>
      </w:pPr>
      <w:r>
        <w:rPr>
          <w:rFonts w:eastAsia="Andale Sans UI"/>
          <w:kern w:val="3"/>
        </w:rPr>
        <w:t xml:space="preserve">Oprogramowanie informatyki śledczej </w:t>
      </w:r>
      <w:proofErr w:type="spellStart"/>
      <w:r>
        <w:rPr>
          <w:rFonts w:eastAsia="Andale Sans UI"/>
          <w:b/>
          <w:bCs/>
          <w:kern w:val="3"/>
        </w:rPr>
        <w:t>Cellebrite</w:t>
      </w:r>
      <w:proofErr w:type="spellEnd"/>
      <w:r>
        <w:rPr>
          <w:rFonts w:eastAsia="Andale Sans UI"/>
          <w:b/>
          <w:bCs/>
          <w:kern w:val="3"/>
        </w:rPr>
        <w:t xml:space="preserve"> </w:t>
      </w:r>
      <w:proofErr w:type="spellStart"/>
      <w:r>
        <w:rPr>
          <w:rFonts w:eastAsia="Andale Sans UI"/>
          <w:b/>
          <w:bCs/>
          <w:kern w:val="3"/>
        </w:rPr>
        <w:t>InsEYEts</w:t>
      </w:r>
      <w:proofErr w:type="spellEnd"/>
      <w:r>
        <w:rPr>
          <w:rFonts w:eastAsia="Andale Sans UI"/>
          <w:b/>
          <w:bCs/>
          <w:kern w:val="3"/>
        </w:rPr>
        <w:t xml:space="preserve"> (UFED 4PC)</w:t>
      </w:r>
      <w:r>
        <w:rPr>
          <w:rFonts w:eastAsia="Andale Sans UI"/>
          <w:kern w:val="3"/>
        </w:rPr>
        <w:t xml:space="preserve"> lub równoważne o specyfikacji technicznej nie gorszej niż:</w:t>
      </w:r>
    </w:p>
    <w:tbl>
      <w:tblPr>
        <w:tblW w:w="9904" w:type="dxa"/>
        <w:tblInd w:w="-1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7"/>
        <w:gridCol w:w="7417"/>
      </w:tblGrid>
      <w:tr w:rsidR="00C10E3F" w:rsidTr="00102A3D"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C10E3F" w:rsidTr="00102A3D"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Subskrypcja: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3 lata od daty aktywacji.</w:t>
            </w:r>
          </w:p>
        </w:tc>
      </w:tr>
      <w:tr w:rsidR="00C10E3F" w:rsidTr="00102A3D"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Funkcjonalność: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Textbody"/>
            </w:pPr>
            <w:r>
              <w:rPr>
                <w:b/>
                <w:bCs/>
              </w:rPr>
              <w:t>Zakres obsługiwanych urządzeń:</w:t>
            </w:r>
            <w:r>
              <w:t xml:space="preserve"> Oprogramowanie powinno umożliwiać dostęp do danych z różnorodnych urządzeń mobilnych, w tym najnowszych modeli smartfonów z systemami Android oraz iOS.​</w:t>
            </w:r>
          </w:p>
          <w:p w:rsidR="00C10E3F" w:rsidRDefault="00C10E3F" w:rsidP="00102A3D">
            <w:pPr>
              <w:pStyle w:val="Textbody"/>
            </w:pPr>
            <w:r>
              <w:rPr>
                <w:b/>
                <w:bCs/>
              </w:rPr>
              <w:t>Efektywność ekstrakcji danych:</w:t>
            </w:r>
            <w:r>
              <w:t xml:space="preserve"> System powinien pozwalać na ekstrakcję danych z urządzeń mobilnych, zapewniając dostęp do pełnego zakresu informacji przechowywanych na urządzeniu.​</w:t>
            </w:r>
          </w:p>
          <w:p w:rsidR="00C10E3F" w:rsidRDefault="00C10E3F" w:rsidP="00102A3D">
            <w:pPr>
              <w:pStyle w:val="Textbody"/>
            </w:pPr>
            <w:r>
              <w:rPr>
                <w:b/>
                <w:bCs/>
              </w:rPr>
              <w:t>Analiza danych:</w:t>
            </w:r>
            <w:r>
              <w:t xml:space="preserve"> Oprogramowanie powinno oferować narzędzia do analizy pozyskanych danych, umożliwiając identyfikację kluczowych informacji, takich jak wiadomości, połączenia, dane aplikacji, lokalizacje GPS oraz inne istotne dane użytkownika.​</w:t>
            </w:r>
          </w:p>
          <w:p w:rsidR="00C10E3F" w:rsidRDefault="00C10E3F" w:rsidP="00102A3D">
            <w:pPr>
              <w:pStyle w:val="Textbody"/>
            </w:pPr>
            <w:r>
              <w:rPr>
                <w:b/>
                <w:bCs/>
              </w:rPr>
              <w:t>Interfejs użytkownika:</w:t>
            </w:r>
            <w:r>
              <w:t xml:space="preserve"> System powinien posiadać przyjazny dla użytkownika interfejs, umożliwiający szybkie i efektywne przeprowadzenie procesu ekstrakcji oraz analizy danych.​</w:t>
            </w:r>
          </w:p>
          <w:p w:rsidR="00C10E3F" w:rsidRDefault="00C10E3F" w:rsidP="00102A3D">
            <w:pPr>
              <w:pStyle w:val="Textbody"/>
            </w:pPr>
          </w:p>
          <w:p w:rsidR="00C10E3F" w:rsidRDefault="00C10E3F" w:rsidP="00102A3D">
            <w:pPr>
              <w:pStyle w:val="Textbody"/>
            </w:pPr>
            <w:r>
              <w:rPr>
                <w:b/>
                <w:bCs/>
              </w:rPr>
              <w:t>Aktualizacje i wsparcie techniczne:</w:t>
            </w:r>
            <w:r>
              <w:t xml:space="preserve"> Oprogramowanie powinno być regularnie aktualizowane w celu zapewnienia kompatybilności z nowymi modelami urządzeń oraz wersjami systemów operacyjnych.</w:t>
            </w:r>
          </w:p>
        </w:tc>
      </w:tr>
      <w:tr w:rsidR="00C10E3F" w:rsidTr="00102A3D">
        <w:tc>
          <w:tcPr>
            <w:tcW w:w="2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Textbody"/>
            </w:pPr>
            <w:r>
              <w:rPr>
                <w:rStyle w:val="StrongEmphasis"/>
              </w:rPr>
              <w:t>Specyfikacja techniczna:</w:t>
            </w:r>
          </w:p>
        </w:tc>
        <w:tc>
          <w:tcPr>
            <w:tcW w:w="7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0E3F" w:rsidRDefault="00C10E3F" w:rsidP="00102A3D">
            <w:pPr>
              <w:pStyle w:val="Textbody"/>
            </w:pPr>
            <w:r>
              <w:rPr>
                <w:rStyle w:val="StrongEmphasis"/>
              </w:rPr>
              <w:t>Kompatybilność systemowa:</w:t>
            </w:r>
            <w:r>
              <w:t xml:space="preserve"> Oprogramowanie powinno być kompatybilne z systemami operacyjnymi Windows 10 lub nowszymi.​</w:t>
            </w:r>
          </w:p>
          <w:p w:rsidR="00C10E3F" w:rsidRDefault="00C10E3F" w:rsidP="00102A3D">
            <w:pPr>
              <w:pStyle w:val="Textbody"/>
            </w:pPr>
            <w:r>
              <w:rPr>
                <w:rStyle w:val="StrongEmphasis"/>
              </w:rPr>
              <w:t>Wymagania sprzętowe:</w:t>
            </w:r>
            <w:r>
              <w:t xml:space="preserve"> System powinien działać na standardowych komputerach klasy PC, spełniających minimalne wymagania: procesor Intel </w:t>
            </w:r>
            <w:proofErr w:type="spellStart"/>
            <w:r>
              <w:t>Core</w:t>
            </w:r>
            <w:proofErr w:type="spellEnd"/>
            <w:r>
              <w:t xml:space="preserve"> i5 lub równoważny, 8 GB RAM, 500 GB HDD, porty USB 3.0.​</w:t>
            </w:r>
          </w:p>
          <w:p w:rsidR="00C10E3F" w:rsidRDefault="00C10E3F" w:rsidP="00102A3D">
            <w:pPr>
              <w:pStyle w:val="Textbody"/>
            </w:pPr>
            <w:r>
              <w:rPr>
                <w:rStyle w:val="StrongEmphasis"/>
              </w:rPr>
              <w:t>Obsługiwane formaty danych:</w:t>
            </w:r>
            <w:r>
              <w:t xml:space="preserve"> Oprogramowanie powinno obsługiwać szeroki zakres formatów danych, umożliwiając eksport wyników analizy do popularnych formatów, takich jak PDF, CSV czy XML.​</w:t>
            </w:r>
          </w:p>
        </w:tc>
      </w:tr>
    </w:tbl>
    <w:p w:rsidR="00C10E3F" w:rsidRDefault="00C10E3F" w:rsidP="00C10E3F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b/>
          <w:bCs/>
          <w:kern w:val="3"/>
        </w:rPr>
      </w:pPr>
    </w:p>
    <w:p w:rsidR="004E4B51" w:rsidRPr="004E4B51" w:rsidRDefault="004E4B51" w:rsidP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</w:p>
    <w:p w:rsidR="004E4B51" w:rsidRDefault="004E4B51" w:rsidP="004E4B51">
      <w:pPr>
        <w:pStyle w:val="Standard"/>
        <w:widowControl w:val="0"/>
        <w:numPr>
          <w:ilvl w:val="0"/>
          <w:numId w:val="16"/>
        </w:numPr>
        <w:tabs>
          <w:tab w:val="left" w:pos="0"/>
          <w:tab w:val="left" w:pos="720"/>
        </w:tabs>
        <w:suppressAutoHyphens w:val="0"/>
        <w:snapToGrid w:val="0"/>
        <w:spacing w:line="312" w:lineRule="auto"/>
        <w:ind w:left="709"/>
      </w:pPr>
      <w:r>
        <w:rPr>
          <w:b/>
          <w:bCs/>
          <w:sz w:val="22"/>
          <w:szCs w:val="22"/>
        </w:rPr>
        <w:t>Duplikator nośników informatycznych</w:t>
      </w:r>
    </w:p>
    <w:p w:rsidR="004E4B51" w:rsidRDefault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  <w:ind w:left="720"/>
      </w:pPr>
    </w:p>
    <w:p w:rsidR="004E4B51" w:rsidRDefault="004E4B51" w:rsidP="004E4B51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kern w:val="3"/>
        </w:rPr>
      </w:pPr>
      <w:r w:rsidRPr="004E4B51">
        <w:rPr>
          <w:b/>
          <w:bCs/>
        </w:rPr>
        <w:t>Duplikator nośników informatycznych</w:t>
      </w:r>
      <w:r>
        <w:rPr>
          <w:rFonts w:eastAsia="Andale Sans UI"/>
          <w:b/>
          <w:bCs/>
          <w:kern w:val="3"/>
        </w:rPr>
        <w:t xml:space="preserve"> </w:t>
      </w:r>
      <w:proofErr w:type="spellStart"/>
      <w:r>
        <w:rPr>
          <w:rFonts w:eastAsia="Andale Sans UI"/>
          <w:b/>
          <w:bCs/>
          <w:kern w:val="3"/>
        </w:rPr>
        <w:t>Atola</w:t>
      </w:r>
      <w:proofErr w:type="spellEnd"/>
      <w:r>
        <w:rPr>
          <w:rFonts w:eastAsia="Andale Sans UI"/>
          <w:b/>
          <w:bCs/>
          <w:kern w:val="3"/>
        </w:rPr>
        <w:t xml:space="preserve"> </w:t>
      </w:r>
      <w:proofErr w:type="spellStart"/>
      <w:r>
        <w:rPr>
          <w:rFonts w:eastAsia="Andale Sans UI"/>
          <w:b/>
          <w:bCs/>
          <w:kern w:val="3"/>
        </w:rPr>
        <w:t>Task</w:t>
      </w:r>
      <w:proofErr w:type="spellEnd"/>
      <w:r>
        <w:rPr>
          <w:rFonts w:eastAsia="Andale Sans UI"/>
          <w:b/>
          <w:bCs/>
          <w:kern w:val="3"/>
        </w:rPr>
        <w:t xml:space="preserve"> Force</w:t>
      </w:r>
      <w:r>
        <w:rPr>
          <w:rFonts w:eastAsia="Andale Sans UI"/>
          <w:kern w:val="3"/>
        </w:rPr>
        <w:t xml:space="preserve"> lub równoważny o specyfikacji technicznej nie gorszej niż:</w:t>
      </w:r>
    </w:p>
    <w:p w:rsidR="004E4B51" w:rsidRDefault="004E4B51" w:rsidP="004E4B51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kern w:val="3"/>
        </w:rPr>
      </w:pPr>
    </w:p>
    <w:tbl>
      <w:tblPr>
        <w:tblW w:w="9904" w:type="dxa"/>
        <w:tblInd w:w="-1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7"/>
        <w:gridCol w:w="7417"/>
      </w:tblGrid>
      <w:tr w:rsidR="004E4B51" w:rsidTr="00102A3D"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jc w:val="center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Wymagania</w:t>
            </w:r>
          </w:p>
        </w:tc>
      </w:tr>
      <w:tr w:rsidR="004E4B51" w:rsidTr="00102A3D"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Funkcjonalność: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Wielozadaniowość:</w:t>
            </w:r>
            <w:r>
              <w:rPr>
                <w:sz w:val="22"/>
                <w:szCs w:val="22"/>
              </w:rPr>
              <w:t xml:space="preserve"> Jednoczesne prowadzenie 12 lub więcej procesów akwizycji danych.</w:t>
            </w:r>
          </w:p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Prędkość akwizycji:</w:t>
            </w:r>
            <w:r>
              <w:rPr>
                <w:sz w:val="22"/>
                <w:szCs w:val="22"/>
              </w:rPr>
              <w:t xml:space="preserve"> Prędkość obrazowania nie gorsza niż 15 TB na godzinę.</w:t>
            </w:r>
          </w:p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Obsługa wielu interfejsów: 18 lub więcej portów obsługujących nośniki SAS, SATA, USB i IDE, a także możliwość rozszerzenia o moduły dla </w:t>
            </w:r>
            <w:proofErr w:type="spellStart"/>
            <w:r>
              <w:rPr>
                <w:sz w:val="22"/>
                <w:szCs w:val="22"/>
              </w:rPr>
              <w:t>Thunderbolt</w:t>
            </w:r>
            <w:proofErr w:type="spellEnd"/>
            <w:r>
              <w:rPr>
                <w:sz w:val="22"/>
                <w:szCs w:val="22"/>
              </w:rPr>
              <w:t xml:space="preserve">, Apple </w:t>
            </w:r>
            <w:proofErr w:type="spellStart"/>
            <w:r>
              <w:rPr>
                <w:sz w:val="22"/>
                <w:szCs w:val="22"/>
              </w:rPr>
              <w:t>PCIe</w:t>
            </w:r>
            <w:proofErr w:type="spellEnd"/>
            <w:r>
              <w:rPr>
                <w:sz w:val="22"/>
                <w:szCs w:val="22"/>
              </w:rPr>
              <w:t xml:space="preserve"> oraz M.2 SSD.</w:t>
            </w:r>
          </w:p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Wsparcie dla uszkodzonych nośników:</w:t>
            </w:r>
            <w:r>
              <w:rPr>
                <w:sz w:val="22"/>
                <w:szCs w:val="22"/>
              </w:rPr>
              <w:t xml:space="preserve"> Zaawansowany silnik obrazowania pozwalający na efektywne pozyskiwanie danych z nośników z fizycznymi </w:t>
            </w:r>
            <w:r>
              <w:rPr>
                <w:sz w:val="22"/>
                <w:szCs w:val="22"/>
              </w:rPr>
              <w:lastRenderedPageBreak/>
              <w:t>uszkodzeniami, w tym z uszkodzonymi głowicami, zarysowaniami powierzchni czy problemami z oprogramowaniem wewnętrznym.</w:t>
            </w:r>
          </w:p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Diagnostyka nośników:</w:t>
            </w:r>
            <w:r>
              <w:rPr>
                <w:sz w:val="22"/>
                <w:szCs w:val="22"/>
              </w:rPr>
              <w:t xml:space="preserve"> Funkcje takie jak pomiar prądu na wszystkich portach oraz automatyczna ochrona przed przeciążeniem i zwarciem.</w:t>
            </w:r>
          </w:p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Interfejs użytkownika:</w:t>
            </w:r>
            <w:r>
              <w:rPr>
                <w:sz w:val="22"/>
                <w:szCs w:val="22"/>
              </w:rPr>
              <w:t xml:space="preserve"> Oparty na przeglądarce, umożliwiający zarządzanie urządzeniem zarówno w trybie samodzielnym, jak i przez wielu użytkowników z tej samej sieci lokalnej.</w:t>
            </w:r>
          </w:p>
          <w:p w:rsidR="004E4B51" w:rsidRDefault="004E4B51" w:rsidP="00102A3D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Dodatkowe funkcje:</w:t>
            </w:r>
            <w:r>
              <w:rPr>
                <w:sz w:val="22"/>
                <w:szCs w:val="22"/>
              </w:rPr>
              <w:t xml:space="preserve"> Obsługa HPA i DCO, obliczanie sum kontrolnych (MD5, SHA1, SHA256, SHA512), funkcje wymazywania danych, automatyczne generowanie raportów oraz system zarządzania sprawami.</w:t>
            </w:r>
          </w:p>
        </w:tc>
      </w:tr>
      <w:tr w:rsidR="004E4B51" w:rsidTr="00102A3D">
        <w:tc>
          <w:tcPr>
            <w:tcW w:w="2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lastRenderedPageBreak/>
              <w:t>Specyfikacja techniczna:</w:t>
            </w:r>
          </w:p>
        </w:tc>
        <w:tc>
          <w:tcPr>
            <w:tcW w:w="7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jc w:val="both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Porty:</w:t>
            </w:r>
          </w:p>
          <w:p w:rsidR="004E4B51" w:rsidRDefault="004E4B51" w:rsidP="004E4B51">
            <w:pPr>
              <w:pStyle w:val="Standard"/>
              <w:widowControl w:val="0"/>
              <w:numPr>
                <w:ilvl w:val="0"/>
                <w:numId w:val="17"/>
              </w:numPr>
              <w:autoSpaceDN w:val="0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8 x SATA (do 540 MB/s)</w:t>
            </w:r>
          </w:p>
          <w:p w:rsidR="004E4B51" w:rsidRDefault="004E4B51" w:rsidP="004E4B51">
            <w:pPr>
              <w:pStyle w:val="Standard"/>
              <w:widowControl w:val="0"/>
              <w:numPr>
                <w:ilvl w:val="0"/>
                <w:numId w:val="17"/>
              </w:numPr>
              <w:autoSpaceDN w:val="0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8 x SAS/SATA (do 1000 MB/s)</w:t>
            </w:r>
          </w:p>
          <w:p w:rsidR="004E4B51" w:rsidRDefault="004E4B51" w:rsidP="004E4B51">
            <w:pPr>
              <w:pStyle w:val="Standard"/>
              <w:widowControl w:val="0"/>
              <w:numPr>
                <w:ilvl w:val="0"/>
                <w:numId w:val="17"/>
              </w:numPr>
              <w:autoSpaceDN w:val="0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4 x USB 3.0 (do 400 MB/s)</w:t>
            </w:r>
          </w:p>
          <w:p w:rsidR="004E4B51" w:rsidRDefault="004E4B51" w:rsidP="004E4B51">
            <w:pPr>
              <w:pStyle w:val="Standard"/>
              <w:widowControl w:val="0"/>
              <w:numPr>
                <w:ilvl w:val="0"/>
                <w:numId w:val="17"/>
              </w:numPr>
              <w:autoSpaceDN w:val="0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2 x 10Gb Ethernet</w:t>
            </w:r>
          </w:p>
          <w:p w:rsidR="004E4B51" w:rsidRDefault="004E4B51" w:rsidP="00102A3D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System operacyjny: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Linux z niestandardowym jądrem</w:t>
            </w:r>
          </w:p>
          <w:p w:rsidR="004E4B51" w:rsidRDefault="004E4B51" w:rsidP="00102A3D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Interfejs sterowania: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Aplikacja webowa dostępna przez przeglądarkę</w:t>
            </w:r>
          </w:p>
          <w:p w:rsidR="004E4B51" w:rsidRDefault="004E4B51" w:rsidP="00102A3D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Wymiary: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Szerokość 35 cm x Głębokość 35 cm x Wysokość 9 cm</w:t>
            </w:r>
          </w:p>
          <w:p w:rsidR="004E4B51" w:rsidRDefault="004E4B51" w:rsidP="00102A3D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Zasilanie:</w:t>
            </w:r>
            <w:r>
              <w:rPr>
                <w:rFonts w:eastAsia="Andale Sans UI" w:cs="Tahoma"/>
                <w:bCs/>
                <w:sz w:val="22"/>
                <w:szCs w:val="22"/>
              </w:rPr>
              <w:t xml:space="preserve"> 100–240V AC, 50–60Hz</w:t>
            </w:r>
          </w:p>
        </w:tc>
      </w:tr>
      <w:tr w:rsidR="004E4B51" w:rsidTr="00102A3D"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4B51" w:rsidRDefault="004E4B51" w:rsidP="00102A3D">
            <w:pPr>
              <w:pStyle w:val="Standard"/>
              <w:rPr>
                <w:rFonts w:eastAsia="Andale Sans UI" w:cs="Tahoma"/>
                <w:b/>
                <w:bCs/>
                <w:sz w:val="22"/>
                <w:szCs w:val="22"/>
              </w:rPr>
            </w:pPr>
            <w:r>
              <w:rPr>
                <w:rFonts w:eastAsia="Andale Sans UI" w:cs="Tahoma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A6" w:rsidRDefault="00CE0EA6" w:rsidP="00CE0EA6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Gwarancja na urządzenie i oprogramowanie minimum 36 miesięcy.</w:t>
            </w:r>
          </w:p>
          <w:p w:rsidR="004E4B51" w:rsidRDefault="004E4B51" w:rsidP="00102A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</w:p>
        </w:tc>
      </w:tr>
    </w:tbl>
    <w:p w:rsidR="004E4B51" w:rsidRDefault="004E4B51" w:rsidP="004E4B51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  <w:kern w:val="3"/>
        </w:rPr>
      </w:pPr>
    </w:p>
    <w:p w:rsidR="004E4B51" w:rsidRDefault="004E4B51" w:rsidP="004E4B51">
      <w:pPr>
        <w:pStyle w:val="Standard"/>
        <w:tabs>
          <w:tab w:val="left" w:pos="0"/>
          <w:tab w:val="left" w:pos="720"/>
        </w:tabs>
        <w:suppressAutoHyphens w:val="0"/>
        <w:snapToGrid w:val="0"/>
        <w:spacing w:line="312" w:lineRule="auto"/>
        <w:rPr>
          <w:rFonts w:eastAsia="Andale Sans UI"/>
        </w:rPr>
      </w:pPr>
    </w:p>
    <w:p w:rsidR="00E21FB1" w:rsidRPr="00E21FB1" w:rsidRDefault="00E21FB1" w:rsidP="00E21FB1">
      <w:pPr>
        <w:pStyle w:val="Standard"/>
        <w:tabs>
          <w:tab w:val="left" w:pos="567"/>
        </w:tabs>
        <w:spacing w:line="312" w:lineRule="auto"/>
        <w:jc w:val="both"/>
        <w:rPr>
          <w:rFonts w:eastAsia="Andale Sans UI"/>
          <w:b/>
          <w:bCs/>
        </w:rPr>
      </w:pPr>
      <w:r w:rsidRPr="00E21FB1">
        <w:rPr>
          <w:rFonts w:eastAsia="Andale Sans UI"/>
          <w:b/>
          <w:bCs/>
          <w:kern w:val="3"/>
        </w:rPr>
        <w:t>Pozostałe wymagania dotyczące przedmiotu zamówienia:</w:t>
      </w:r>
    </w:p>
    <w:p w:rsidR="00E21FB1" w:rsidRDefault="00E21FB1" w:rsidP="00E21FB1">
      <w:pPr>
        <w:pStyle w:val="Standard"/>
        <w:widowControl w:val="0"/>
        <w:numPr>
          <w:ilvl w:val="0"/>
          <w:numId w:val="19"/>
        </w:numPr>
        <w:tabs>
          <w:tab w:val="left" w:pos="0"/>
          <w:tab w:val="left" w:pos="720"/>
        </w:tabs>
        <w:autoSpaceDN w:val="0"/>
        <w:spacing w:line="312" w:lineRule="auto"/>
        <w:jc w:val="both"/>
      </w:pPr>
      <w:r>
        <w:rPr>
          <w:kern w:val="3"/>
        </w:rPr>
        <w:t>Dostarczony sprzęt będący przedmiotem umowy musi być fabrycznie nowy (nieużywany).</w:t>
      </w:r>
    </w:p>
    <w:p w:rsidR="00E21FB1" w:rsidRDefault="00E21FB1" w:rsidP="00E21FB1">
      <w:pPr>
        <w:pStyle w:val="Standard"/>
        <w:widowControl w:val="0"/>
        <w:numPr>
          <w:ilvl w:val="0"/>
          <w:numId w:val="18"/>
        </w:numPr>
        <w:tabs>
          <w:tab w:val="left" w:pos="0"/>
          <w:tab w:val="left" w:pos="720"/>
        </w:tabs>
        <w:autoSpaceDN w:val="0"/>
        <w:spacing w:line="312" w:lineRule="auto"/>
        <w:jc w:val="both"/>
      </w:pPr>
      <w:r>
        <w:rPr>
          <w:kern w:val="3"/>
        </w:rPr>
        <w:t>Dostarczony sprzęt będący przedmiotem umowy musi posiadać wszystkie niezbędne kable, zasilacze oraz inne akcesoria niezbędne do jego prawidłowej pracy.</w:t>
      </w:r>
    </w:p>
    <w:p w:rsidR="00E21FB1" w:rsidRDefault="00E21FB1" w:rsidP="00E21FB1">
      <w:pPr>
        <w:pStyle w:val="Standard"/>
        <w:widowControl w:val="0"/>
        <w:numPr>
          <w:ilvl w:val="0"/>
          <w:numId w:val="18"/>
        </w:numPr>
        <w:tabs>
          <w:tab w:val="left" w:pos="0"/>
          <w:tab w:val="left" w:pos="720"/>
        </w:tabs>
        <w:autoSpaceDN w:val="0"/>
        <w:spacing w:line="312" w:lineRule="auto"/>
        <w:jc w:val="both"/>
      </w:pPr>
      <w:r>
        <w:rPr>
          <w:kern w:val="3"/>
        </w:rPr>
        <w:t>Sterowniki/oprogramowanie do urządzeń będą dostarczone na osobnych nośnikach.</w:t>
      </w:r>
    </w:p>
    <w:p w:rsidR="00E21FB1" w:rsidRDefault="00E21FB1" w:rsidP="00E21FB1">
      <w:pPr>
        <w:pStyle w:val="Standard"/>
        <w:widowControl w:val="0"/>
        <w:numPr>
          <w:ilvl w:val="0"/>
          <w:numId w:val="18"/>
        </w:numPr>
        <w:tabs>
          <w:tab w:val="left" w:pos="0"/>
          <w:tab w:val="left" w:pos="720"/>
        </w:tabs>
        <w:autoSpaceDN w:val="0"/>
        <w:spacing w:line="312" w:lineRule="auto"/>
        <w:jc w:val="both"/>
      </w:pPr>
      <w:r>
        <w:rPr>
          <w:kern w:val="3"/>
        </w:rPr>
        <w:t>Dostarczony sprzęt musi posiadać oznakowanie CE.</w:t>
      </w:r>
    </w:p>
    <w:p w:rsidR="00E21FB1" w:rsidRDefault="00E21FB1" w:rsidP="00E21FB1">
      <w:pPr>
        <w:pStyle w:val="Standard"/>
        <w:widowControl w:val="0"/>
        <w:numPr>
          <w:ilvl w:val="0"/>
          <w:numId w:val="18"/>
        </w:numPr>
        <w:tabs>
          <w:tab w:val="left" w:pos="0"/>
          <w:tab w:val="left" w:pos="720"/>
        </w:tabs>
        <w:autoSpaceDN w:val="0"/>
        <w:spacing w:line="312" w:lineRule="auto"/>
        <w:jc w:val="both"/>
      </w:pPr>
      <w:r>
        <w:rPr>
          <w:kern w:val="3"/>
        </w:rPr>
        <w:t>W przypadku pojawienia się wątpliwości co do pochodzenia oferowanego sprzętu</w:t>
      </w:r>
      <w:r w:rsidR="00C10E3F">
        <w:rPr>
          <w:kern w:val="3"/>
        </w:rPr>
        <w:t xml:space="preserve"> lub oprogramowania</w:t>
      </w:r>
      <w:r>
        <w:rPr>
          <w:kern w:val="3"/>
        </w:rPr>
        <w:t>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E21FB1" w:rsidRDefault="00E21FB1" w:rsidP="00E21FB1">
      <w:pPr>
        <w:pStyle w:val="Standard"/>
        <w:widowControl w:val="0"/>
        <w:numPr>
          <w:ilvl w:val="0"/>
          <w:numId w:val="18"/>
        </w:numPr>
        <w:tabs>
          <w:tab w:val="left" w:pos="0"/>
          <w:tab w:val="left" w:pos="720"/>
        </w:tabs>
        <w:autoSpaceDN w:val="0"/>
        <w:spacing w:line="312" w:lineRule="auto"/>
        <w:jc w:val="both"/>
      </w:pPr>
      <w:r>
        <w:rPr>
          <w:kern w:val="3"/>
        </w:rPr>
        <w:t>Niedozwolone jest oferowanie sprzętu polegające na działaniu de-</w:t>
      </w:r>
      <w:proofErr w:type="spellStart"/>
      <w:r>
        <w:rPr>
          <w:kern w:val="3"/>
        </w:rPr>
        <w:t>brandingu</w:t>
      </w:r>
      <w:proofErr w:type="spellEnd"/>
      <w:r>
        <w:rPr>
          <w:kern w:val="3"/>
        </w:rP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p w:rsidR="004E4B51" w:rsidRDefault="004E4B51" w:rsidP="004E4B51">
      <w:pPr>
        <w:pStyle w:val="Standard"/>
        <w:widowControl w:val="0"/>
        <w:tabs>
          <w:tab w:val="left" w:pos="0"/>
          <w:tab w:val="left" w:pos="720"/>
        </w:tabs>
        <w:suppressAutoHyphens w:val="0"/>
        <w:snapToGrid w:val="0"/>
        <w:spacing w:line="312" w:lineRule="auto"/>
      </w:pPr>
    </w:p>
    <w:sectPr w:rsidR="004E4B51">
      <w:footerReference w:type="even" r:id="rId7"/>
      <w:footerReference w:type="default" r:id="rId8"/>
      <w:footerReference w:type="first" r:id="rId9"/>
      <w:pgSz w:w="11906" w:h="16838"/>
      <w:pgMar w:top="567" w:right="990" w:bottom="1050" w:left="993" w:header="0" w:footer="993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BE0" w:rsidRDefault="00B13BE0">
      <w:r>
        <w:separator/>
      </w:r>
    </w:p>
  </w:endnote>
  <w:endnote w:type="continuationSeparator" w:id="0">
    <w:p w:rsidR="00B13BE0" w:rsidRDefault="00B1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, 'Arial Unicode MS'">
    <w:altName w:val="Times New Roman"/>
    <w:charset w:val="00"/>
    <w:family w:val="auto"/>
    <w:pitch w:val="variable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, 'Segoe Print'">
    <w:altName w:val="Times New Roman"/>
    <w:panose1 w:val="00000000000000000000"/>
    <w:charset w:val="00"/>
    <w:family w:val="roman"/>
    <w:notTrueType/>
    <w:pitch w:val="default"/>
  </w:font>
  <w:font w:name="SimSun, 宋体"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zcionka tekstu podstawowego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05" w:rsidRDefault="00682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05" w:rsidRDefault="002808C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E0EA6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05" w:rsidRDefault="002808C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4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BE0" w:rsidRDefault="00B13BE0">
      <w:r>
        <w:separator/>
      </w:r>
    </w:p>
  </w:footnote>
  <w:footnote w:type="continuationSeparator" w:id="0">
    <w:p w:rsidR="00B13BE0" w:rsidRDefault="00B13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93254"/>
    <w:multiLevelType w:val="multilevel"/>
    <w:tmpl w:val="133C3D2A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" w15:restartNumberingAfterBreak="0">
    <w:nsid w:val="1FF07E9A"/>
    <w:multiLevelType w:val="hybridMultilevel"/>
    <w:tmpl w:val="407C5446"/>
    <w:lvl w:ilvl="0" w:tplc="7BD8ADD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651C49"/>
    <w:multiLevelType w:val="multilevel"/>
    <w:tmpl w:val="871A78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BE23E4"/>
    <w:multiLevelType w:val="multilevel"/>
    <w:tmpl w:val="569AC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" w15:restartNumberingAfterBreak="0">
    <w:nsid w:val="36C15640"/>
    <w:multiLevelType w:val="multilevel"/>
    <w:tmpl w:val="1AD25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" w15:restartNumberingAfterBreak="0">
    <w:nsid w:val="64DA4F74"/>
    <w:multiLevelType w:val="multilevel"/>
    <w:tmpl w:val="D4020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/>
        <w:bCs/>
      </w:rPr>
    </w:lvl>
  </w:abstractNum>
  <w:abstractNum w:abstractNumId="6" w15:restartNumberingAfterBreak="0">
    <w:nsid w:val="71121327"/>
    <w:multiLevelType w:val="multilevel"/>
    <w:tmpl w:val="DD1C271C"/>
    <w:styleLink w:val="WW8Num2"/>
    <w:lvl w:ilvl="0">
      <w:start w:val="1"/>
      <w:numFmt w:val="decimal"/>
      <w:lvlText w:val="%1."/>
      <w:lvlJc w:val="left"/>
      <w:pPr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7F610198"/>
    <w:multiLevelType w:val="multilevel"/>
    <w:tmpl w:val="AC62CB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/>
        <w:bCs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7"/>
    <w:lvlOverride w:ilvl="0">
      <w:startOverride w:val="1"/>
    </w:lvlOverride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"/>
  </w:num>
  <w:num w:numId="17">
    <w:abstractNumId w:val="0"/>
  </w:num>
  <w:num w:numId="18">
    <w:abstractNumId w:val="6"/>
  </w:num>
  <w:num w:numId="19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205"/>
    <w:rsid w:val="002808C5"/>
    <w:rsid w:val="004E4B51"/>
    <w:rsid w:val="00682205"/>
    <w:rsid w:val="006F12B8"/>
    <w:rsid w:val="00B13BE0"/>
    <w:rsid w:val="00C10E3F"/>
    <w:rsid w:val="00CE0EA6"/>
    <w:rsid w:val="00CF2CAD"/>
    <w:rsid w:val="00CF7E59"/>
    <w:rsid w:val="00E21FB1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F86B"/>
  <w15:docId w15:val="{E7A50960-1C92-4513-80C5-F48F8F9D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qFormat/>
    <w:pPr>
      <w:keepNext/>
      <w:tabs>
        <w:tab w:val="left" w:pos="0"/>
      </w:tabs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/>
      <w:kern w:val="2"/>
      <w:sz w:val="24"/>
      <w:szCs w:val="24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rFonts w:ascii="Symbol" w:eastAsia="Symbol" w:hAnsi="Symbol" w:cs="Symbol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Andale Sans UI" w:hAnsi="Times New Roman" w:cs="Times New Roman"/>
      <w:b/>
      <w:bCs/>
      <w:kern w:val="2"/>
      <w:sz w:val="22"/>
      <w:szCs w:val="22"/>
    </w:rPr>
  </w:style>
  <w:style w:type="character" w:customStyle="1" w:styleId="WW8Num3z1">
    <w:name w:val="WW8Num3z1"/>
    <w:qFormat/>
    <w:rPr>
      <w:kern w:val="2"/>
      <w:sz w:val="22"/>
      <w:szCs w:val="22"/>
      <w:lang w:eastAsia="pl-PL"/>
    </w:rPr>
  </w:style>
  <w:style w:type="character" w:customStyle="1" w:styleId="WW8Num3z2">
    <w:name w:val="WW8Num3z2"/>
    <w:qFormat/>
    <w:rPr>
      <w:rFonts w:ascii="Symbol" w:eastAsia="Symbol" w:hAnsi="Symbol" w:cs="Symbol"/>
      <w:sz w:val="16"/>
      <w:szCs w:val="16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WW8Num4z0">
    <w:name w:val="WW8Num4z0"/>
    <w:qFormat/>
    <w:rPr>
      <w:rFonts w:ascii="Times New Roman" w:eastAsia="Times New Roman" w:hAnsi="Times New Roman" w:cs="Symbol"/>
      <w:b/>
      <w:bCs/>
      <w:sz w:val="22"/>
      <w:szCs w:val="22"/>
    </w:rPr>
  </w:style>
  <w:style w:type="character" w:customStyle="1" w:styleId="WW8Num4z1">
    <w:name w:val="WW8Num4z1"/>
    <w:qFormat/>
    <w:rPr>
      <w:rFonts w:ascii="Courier New" w:eastAsia="Andale Sans UI" w:hAnsi="Courier New" w:cs="Courier New"/>
      <w:kern w:val="2"/>
      <w:sz w:val="22"/>
      <w:szCs w:val="22"/>
    </w:rPr>
  </w:style>
  <w:style w:type="character" w:customStyle="1" w:styleId="WW8Num4z2">
    <w:name w:val="WW8Num4z2"/>
    <w:qFormat/>
    <w:rPr>
      <w:rFonts w:ascii="Wingdings" w:eastAsia="Wingdings" w:hAnsi="Wingdings" w:cs="Wingdings"/>
      <w:kern w:val="2"/>
      <w:sz w:val="22"/>
      <w:szCs w:val="22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HG Mincho Light J" w:hAnsi="Times New Roman" w:cs="Times New Roman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Domylnaczcionkaakapitu3">
    <w:name w:val="Domyślna czcionka akapitu3"/>
    <w:qFormat/>
  </w:style>
  <w:style w:type="character" w:customStyle="1" w:styleId="WW8Num6z0">
    <w:name w:val="WW8Num6z0"/>
    <w:qFormat/>
    <w:rPr>
      <w:rFonts w:ascii="Arial" w:eastAsia="Arial" w:hAnsi="Arial" w:cs="Arial"/>
      <w:b w:val="0"/>
      <w:spacing w:val="-6"/>
      <w:sz w:val="22"/>
      <w:szCs w:val="22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Times New Roman" w:eastAsia="HG Mincho Light J" w:hAnsi="Times New Roman" w:cs="Times New Roman"/>
      <w:b w:val="0"/>
    </w:rPr>
  </w:style>
  <w:style w:type="character" w:customStyle="1" w:styleId="WW8Num9z0">
    <w:name w:val="WW8Num9z0"/>
    <w:qFormat/>
    <w:rPr>
      <w:rFonts w:ascii="Times New Roman" w:eastAsia="Lucida Sans Unicode" w:hAnsi="Times New Roman" w:cs="Times New Roman"/>
      <w:kern w:val="2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eastAsia="Symbol" w:hAnsi="Symbol" w:cs="Symbol"/>
      <w:color w:val="000000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0z3">
    <w:name w:val="WW8Num10z3"/>
    <w:qFormat/>
    <w:rPr>
      <w:rFonts w:ascii="Symbol" w:eastAsia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eastAsia="Arial" w:hAnsi="Arial" w:cs="Arial"/>
      <w:spacing w:val="-2"/>
      <w:sz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position w:val="0"/>
      <w:sz w:val="24"/>
      <w:vertAlign w:val="baseline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 w:val="0"/>
      <w:position w:val="0"/>
      <w:sz w:val="24"/>
      <w:vertAlign w:val="baseline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eastAsia="Lucida Sans Unicode"/>
      <w:b/>
      <w:color w:val="000000"/>
      <w:kern w:val="2"/>
      <w:sz w:val="22"/>
      <w:szCs w:val="22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eastAsia="Symbol" w:hAnsi="Symbol" w:cs="Symbol"/>
      <w:spacing w:val="-2"/>
      <w:sz w:val="22"/>
    </w:rPr>
  </w:style>
  <w:style w:type="character" w:customStyle="1" w:styleId="WW8Num17z1">
    <w:name w:val="WW8Num17z1"/>
    <w:qFormat/>
    <w:rPr>
      <w:rFonts w:ascii="Courier New" w:eastAsia="Courier New" w:hAnsi="Courier New" w:cs="Courier New"/>
    </w:rPr>
  </w:style>
  <w:style w:type="character" w:customStyle="1" w:styleId="WW8Num17z2">
    <w:name w:val="WW8Num17z2"/>
    <w:qFormat/>
    <w:rPr>
      <w:rFonts w:ascii="Wingdings" w:eastAsia="Wingdings" w:hAnsi="Wingdings" w:cs="Wingdings"/>
    </w:rPr>
  </w:style>
  <w:style w:type="character" w:customStyle="1" w:styleId="WW8Num18z0">
    <w:name w:val="WW8Num18z0"/>
    <w:qFormat/>
    <w:rPr>
      <w:rFonts w:ascii="Symbol" w:eastAsia="Symbol" w:hAnsi="Symbol" w:cs="StarSymbol, 'Arial Unicode MS'"/>
      <w:sz w:val="18"/>
      <w:szCs w:val="18"/>
    </w:rPr>
  </w:style>
  <w:style w:type="character" w:customStyle="1" w:styleId="WW8Num18z1">
    <w:name w:val="WW8Num18z1"/>
    <w:qFormat/>
    <w:rPr>
      <w:rFonts w:ascii="Courier New" w:eastAsia="Courier New" w:hAnsi="Courier New" w:cs="Courier New"/>
      <w:sz w:val="20"/>
    </w:rPr>
  </w:style>
  <w:style w:type="character" w:customStyle="1" w:styleId="WW8Num18z2">
    <w:name w:val="WW8Num18z2"/>
    <w:qFormat/>
    <w:rPr>
      <w:rFonts w:ascii="Wingdings" w:eastAsia="Wingdings" w:hAnsi="Wingdings" w:cs="Wingdings"/>
      <w:sz w:val="20"/>
    </w:rPr>
  </w:style>
  <w:style w:type="character" w:customStyle="1" w:styleId="WW8Num19z0">
    <w:name w:val="WW8Num19z0"/>
    <w:qFormat/>
    <w:rPr>
      <w:rFonts w:ascii="Symbol" w:eastAsia="Symbol" w:hAnsi="Symbol" w:cs="Symbol"/>
    </w:rPr>
  </w:style>
  <w:style w:type="character" w:customStyle="1" w:styleId="WW8Num19z1">
    <w:name w:val="WW8Num19z1"/>
    <w:qFormat/>
    <w:rPr>
      <w:rFonts w:ascii="Courier New" w:eastAsia="Andale Sans UI" w:hAnsi="Courier New" w:cs="Courier New"/>
      <w:kern w:val="2"/>
      <w:sz w:val="22"/>
      <w:szCs w:val="22"/>
    </w:rPr>
  </w:style>
  <w:style w:type="character" w:customStyle="1" w:styleId="WW8Num19z2">
    <w:name w:val="WW8Num19z2"/>
    <w:qFormat/>
    <w:rPr>
      <w:rFonts w:ascii="Wingdings" w:eastAsia="Andale Sans UI" w:hAnsi="Wingdings" w:cs="Wingdings"/>
      <w:kern w:val="2"/>
      <w:sz w:val="22"/>
      <w:szCs w:val="22"/>
    </w:rPr>
  </w:style>
  <w:style w:type="character" w:customStyle="1" w:styleId="WW8Num20z0">
    <w:name w:val="WW8Num20z0"/>
    <w:qFormat/>
    <w:rPr>
      <w:rFonts w:ascii="Arial" w:eastAsia="Arial" w:hAnsi="Arial" w:cs="Arial"/>
      <w:b w:val="0"/>
      <w:spacing w:val="-2"/>
      <w:sz w:val="22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Arial" w:eastAsia="Arial" w:hAnsi="Arial" w:cs="Arial"/>
      <w:spacing w:val="-2"/>
      <w:sz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eastAsia="Lucida Sans Unicode"/>
      <w:b/>
      <w:color w:val="000000"/>
      <w:kern w:val="2"/>
      <w:sz w:val="22"/>
      <w:szCs w:val="22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eastAsia="Andale Sans UI"/>
      <w:kern w:val="2"/>
      <w:sz w:val="22"/>
      <w:szCs w:val="22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eastAsia="Lucida Sans Unicode"/>
      <w:color w:val="000000"/>
      <w:kern w:val="2"/>
      <w:sz w:val="22"/>
      <w:szCs w:val="22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Arial" w:eastAsia="Arial" w:hAnsi="Arial" w:cs="Arial"/>
      <w:b w:val="0"/>
      <w:spacing w:val="-2"/>
      <w:sz w:val="22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eastAsia="Symbol" w:hAnsi="Symbol" w:cs="Symbol"/>
      <w:color w:val="000000"/>
    </w:rPr>
  </w:style>
  <w:style w:type="character" w:customStyle="1" w:styleId="WW8Num29z1">
    <w:name w:val="WW8Num29z1"/>
    <w:qFormat/>
    <w:rPr>
      <w:rFonts w:ascii="Courier New" w:eastAsia="Courier New" w:hAnsi="Courier New" w:cs="Courier New"/>
    </w:rPr>
  </w:style>
  <w:style w:type="character" w:customStyle="1" w:styleId="WW8Num29z2">
    <w:name w:val="WW8Num29z2"/>
    <w:qFormat/>
    <w:rPr>
      <w:rFonts w:ascii="Wingdings" w:eastAsia="Wingdings" w:hAnsi="Wingdings" w:cs="Wingdings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30z0">
    <w:name w:val="WW8Num30z0"/>
    <w:qFormat/>
    <w:rPr>
      <w:b w:val="0"/>
      <w:position w:val="0"/>
      <w:sz w:val="24"/>
      <w:vertAlign w:val="baseline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eastAsia="Symbol" w:hAnsi="Symbol" w:cs="Symbol"/>
      <w:color w:val="000000"/>
    </w:rPr>
  </w:style>
  <w:style w:type="character" w:customStyle="1" w:styleId="WW8Num31z1">
    <w:name w:val="WW8Num31z1"/>
    <w:qFormat/>
    <w:rPr>
      <w:rFonts w:ascii="Courier New" w:eastAsia="Courier New" w:hAnsi="Courier New" w:cs="Courier New"/>
    </w:rPr>
  </w:style>
  <w:style w:type="character" w:customStyle="1" w:styleId="WW8Num31z2">
    <w:name w:val="WW8Num31z2"/>
    <w:qFormat/>
    <w:rPr>
      <w:rFonts w:ascii="Wingdings" w:eastAsia="Wingdings" w:hAnsi="Wingdings" w:cs="Wingdings"/>
    </w:rPr>
  </w:style>
  <w:style w:type="character" w:customStyle="1" w:styleId="WW8Num31z3">
    <w:name w:val="WW8Num31z3"/>
    <w:qFormat/>
    <w:rPr>
      <w:rFonts w:ascii="Symbol" w:eastAsia="Symbol" w:hAnsi="Symbol" w:cs="Symbol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eastAsia="Symbol" w:hAnsi="Symbol" w:cs="Symbol"/>
      <w:color w:val="000000"/>
    </w:rPr>
  </w:style>
  <w:style w:type="character" w:customStyle="1" w:styleId="WW8Num33z1">
    <w:name w:val="WW8Num33z1"/>
    <w:qFormat/>
    <w:rPr>
      <w:rFonts w:ascii="Courier New" w:eastAsia="Courier New" w:hAnsi="Courier New" w:cs="Courier New"/>
    </w:rPr>
  </w:style>
  <w:style w:type="character" w:customStyle="1" w:styleId="WW8Num33z2">
    <w:name w:val="WW8Num33z2"/>
    <w:qFormat/>
    <w:rPr>
      <w:rFonts w:ascii="Wingdings" w:eastAsia="Wingdings" w:hAnsi="Wingdings" w:cs="Wingdings"/>
    </w:rPr>
  </w:style>
  <w:style w:type="character" w:customStyle="1" w:styleId="WW8Num33z3">
    <w:name w:val="WW8Num33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b/>
      <w:bCs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b w:val="0"/>
      <w:position w:val="0"/>
      <w:sz w:val="24"/>
      <w:vertAlign w:val="baseline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" w:eastAsia="Symbol" w:hAnsi="Symbol" w:cs="Symbol"/>
      <w:color w:val="000000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St13z0">
    <w:name w:val="WW8NumSt13z0"/>
    <w:qFormat/>
    <w:rPr>
      <w:b w:val="0"/>
      <w:color w:val="000000"/>
      <w:sz w:val="22"/>
      <w:szCs w:val="22"/>
    </w:rPr>
  </w:style>
  <w:style w:type="character" w:customStyle="1" w:styleId="WW8NumSt14z0">
    <w:name w:val="WW8NumSt14z0"/>
    <w:qFormat/>
    <w:rPr>
      <w:b w:val="0"/>
    </w:rPr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1">
    <w:name w:val="Domyślna czcionka akapitu1"/>
    <w:qFormat/>
  </w:style>
  <w:style w:type="character" w:customStyle="1" w:styleId="Bullets">
    <w:name w:val="Bullets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qFormat/>
  </w:style>
  <w:style w:type="character" w:customStyle="1" w:styleId="TekstprzypisukocowegoZnak">
    <w:name w:val="Tekst przypisu końcowego Znak"/>
    <w:basedOn w:val="Domylnaczcionkaakapitu2"/>
    <w:qFormat/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FontStyle23">
    <w:name w:val="Font Style23"/>
    <w:qFormat/>
    <w:rPr>
      <w:rFonts w:ascii="Arial" w:eastAsia="Arial" w:hAnsi="Arial" w:cs="Arial"/>
      <w:sz w:val="22"/>
      <w:szCs w:val="22"/>
    </w:rPr>
  </w:style>
  <w:style w:type="character" w:customStyle="1" w:styleId="FontStyle25">
    <w:name w:val="Font Style25"/>
    <w:qFormat/>
    <w:rPr>
      <w:rFonts w:ascii="Arial" w:eastAsia="Arial" w:hAnsi="Arial" w:cs="Arial"/>
      <w:sz w:val="20"/>
      <w:szCs w:val="20"/>
    </w:rPr>
  </w:style>
  <w:style w:type="character" w:customStyle="1" w:styleId="FontStyle32">
    <w:name w:val="Font Style32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Znakinumeracji">
    <w:name w:val="Znaki numeracji"/>
    <w:qFormat/>
    <w:rPr>
      <w:b/>
      <w:bCs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Calibri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SimSun" w:hAnsi="Times New Roman" w:cs="Times New Roman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Mangal, 'Segoe Print'"/>
      <w:i/>
      <w:iCs/>
    </w:rPr>
  </w:style>
  <w:style w:type="paragraph" w:customStyle="1" w:styleId="Endnote">
    <w:name w:val="Endnote"/>
    <w:basedOn w:val="Standard"/>
    <w:qFormat/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NormalnyWeb">
    <w:name w:val="Normal (Web)"/>
    <w:basedOn w:val="Standard1"/>
    <w:qFormat/>
    <w:pPr>
      <w:spacing w:before="280" w:after="119"/>
    </w:pPr>
  </w:style>
  <w:style w:type="paragraph" w:customStyle="1" w:styleId="Index">
    <w:name w:val="Index"/>
    <w:basedOn w:val="Standard"/>
    <w:qFormat/>
    <w:pPr>
      <w:suppressLineNumbers/>
    </w:pPr>
    <w:rPr>
      <w:rFonts w:cs="Calibri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Mangal, 'Segoe Print'"/>
      <w:sz w:val="28"/>
      <w:szCs w:val="28"/>
    </w:rPr>
  </w:style>
  <w:style w:type="paragraph" w:customStyle="1" w:styleId="Nagwek20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Mangal, 'Segoe Print'"/>
      <w:sz w:val="28"/>
      <w:szCs w:val="28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rFonts w:cs="Mangal, 'Segoe Print'"/>
      <w:i/>
      <w:iCs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Lucida Sans Unicode" w:hAnsi="Arial" w:cs="Calibri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Calibri"/>
      <w:i/>
      <w:iCs/>
    </w:rPr>
  </w:style>
  <w:style w:type="paragraph" w:styleId="Akapitzlist">
    <w:name w:val="List Paragraph"/>
    <w:basedOn w:val="Standard"/>
    <w:qFormat/>
    <w:pPr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Tekstpodstawowywcity31">
    <w:name w:val="Tekst podstawowy wcięty 31"/>
    <w:basedOn w:val="Standard"/>
    <w:qFormat/>
    <w:pPr>
      <w:spacing w:after="120"/>
      <w:ind w:left="283"/>
    </w:pPr>
    <w:rPr>
      <w:sz w:val="16"/>
      <w:szCs w:val="16"/>
    </w:rPr>
  </w:style>
  <w:style w:type="paragraph" w:customStyle="1" w:styleId="Style5">
    <w:name w:val="Style5"/>
    <w:basedOn w:val="Standard"/>
    <w:qFormat/>
    <w:pPr>
      <w:widowControl w:val="0"/>
      <w:suppressAutoHyphens w:val="0"/>
      <w:spacing w:line="278" w:lineRule="exact"/>
      <w:ind w:hanging="355"/>
    </w:pPr>
  </w:style>
  <w:style w:type="paragraph" w:customStyle="1" w:styleId="Style6">
    <w:name w:val="Style6"/>
    <w:basedOn w:val="Standard"/>
    <w:qFormat/>
    <w:pPr>
      <w:widowControl w:val="0"/>
      <w:suppressAutoHyphens w:val="0"/>
    </w:pPr>
  </w:style>
  <w:style w:type="paragraph" w:customStyle="1" w:styleId="Style10">
    <w:name w:val="Style10"/>
    <w:basedOn w:val="Standard"/>
    <w:qFormat/>
    <w:pPr>
      <w:widowControl w:val="0"/>
      <w:suppressAutoHyphens w:val="0"/>
      <w:jc w:val="both"/>
    </w:pPr>
  </w:style>
  <w:style w:type="paragraph" w:customStyle="1" w:styleId="font5">
    <w:name w:val="font5"/>
    <w:basedOn w:val="Standard"/>
    <w:qFormat/>
    <w:pPr>
      <w:suppressAutoHyphens w:val="0"/>
      <w:spacing w:before="100" w:after="100"/>
    </w:pPr>
    <w:rPr>
      <w:rFonts w:ascii="Arial" w:eastAsia="Arial" w:hAnsi="Arial" w:cs="Arial"/>
      <w:sz w:val="16"/>
      <w:szCs w:val="16"/>
    </w:rPr>
  </w:style>
  <w:style w:type="paragraph" w:customStyle="1" w:styleId="font6">
    <w:name w:val="font6"/>
    <w:basedOn w:val="Standard"/>
    <w:qFormat/>
    <w:pPr>
      <w:suppressAutoHyphens w:val="0"/>
      <w:spacing w:before="100" w:after="100"/>
    </w:pPr>
    <w:rPr>
      <w:rFonts w:ascii="Arial" w:eastAsia="Arial" w:hAnsi="Arial" w:cs="Arial"/>
      <w:b/>
      <w:bCs/>
      <w:sz w:val="16"/>
      <w:szCs w:val="16"/>
    </w:rPr>
  </w:style>
  <w:style w:type="paragraph" w:customStyle="1" w:styleId="font7">
    <w:name w:val="font7"/>
    <w:basedOn w:val="Standard"/>
    <w:qFormat/>
    <w:pPr>
      <w:suppressAutoHyphens w:val="0"/>
      <w:spacing w:before="100" w:after="100"/>
    </w:pPr>
    <w:rPr>
      <w:rFonts w:ascii="Arial" w:eastAsia="Arial" w:hAnsi="Arial" w:cs="Arial"/>
      <w:sz w:val="20"/>
      <w:szCs w:val="20"/>
    </w:rPr>
  </w:style>
  <w:style w:type="paragraph" w:customStyle="1" w:styleId="font8">
    <w:name w:val="font8"/>
    <w:basedOn w:val="Standard"/>
    <w:qFormat/>
    <w:pPr>
      <w:suppressAutoHyphens w:val="0"/>
      <w:spacing w:before="100" w:after="100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font9">
    <w:name w:val="font9"/>
    <w:basedOn w:val="Standard"/>
    <w:qFormat/>
    <w:pPr>
      <w:suppressAutoHyphens w:val="0"/>
      <w:spacing w:before="100" w:after="100"/>
    </w:pPr>
    <w:rPr>
      <w:rFonts w:ascii="Arial" w:eastAsia="Arial" w:hAnsi="Arial" w:cs="Arial"/>
      <w:b/>
      <w:bCs/>
      <w:color w:val="000000"/>
      <w:sz w:val="16"/>
      <w:szCs w:val="16"/>
    </w:rPr>
  </w:style>
  <w:style w:type="paragraph" w:customStyle="1" w:styleId="xl65">
    <w:name w:val="xl6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66">
    <w:name w:val="xl6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67">
    <w:name w:val="xl6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68">
    <w:name w:val="xl6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69">
    <w:name w:val="xl6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0">
    <w:name w:val="xl7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1">
    <w:name w:val="xl7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4"/>
      <w:szCs w:val="14"/>
    </w:rPr>
  </w:style>
  <w:style w:type="paragraph" w:customStyle="1" w:styleId="xl72">
    <w:name w:val="xl7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3">
    <w:name w:val="xl7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4">
    <w:name w:val="xl7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5">
    <w:name w:val="xl75"/>
    <w:basedOn w:val="Standard"/>
    <w:qFormat/>
    <w:pP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6">
    <w:name w:val="xl7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7">
    <w:name w:val="xl7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78">
    <w:name w:val="xl7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79">
    <w:name w:val="xl7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80">
    <w:name w:val="xl8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83">
    <w:name w:val="xl8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84">
    <w:name w:val="xl8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86">
    <w:name w:val="xl8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4"/>
      <w:szCs w:val="14"/>
    </w:rPr>
  </w:style>
  <w:style w:type="paragraph" w:customStyle="1" w:styleId="xl87">
    <w:name w:val="xl8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88">
    <w:name w:val="xl8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89">
    <w:name w:val="xl8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90">
    <w:name w:val="xl9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4"/>
      <w:szCs w:val="14"/>
    </w:rPr>
  </w:style>
  <w:style w:type="paragraph" w:customStyle="1" w:styleId="xl91">
    <w:name w:val="xl9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92">
    <w:name w:val="xl9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93">
    <w:name w:val="xl9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94">
    <w:name w:val="xl9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8"/>
      <w:szCs w:val="18"/>
    </w:rPr>
  </w:style>
  <w:style w:type="paragraph" w:customStyle="1" w:styleId="xl95">
    <w:name w:val="xl9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b/>
      <w:bCs/>
      <w:sz w:val="16"/>
      <w:szCs w:val="16"/>
    </w:rPr>
  </w:style>
  <w:style w:type="paragraph" w:customStyle="1" w:styleId="xl96">
    <w:name w:val="xl9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97">
    <w:name w:val="xl9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98">
    <w:name w:val="xl98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99">
    <w:name w:val="xl9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color w:val="000000"/>
      <w:sz w:val="16"/>
      <w:szCs w:val="16"/>
    </w:rPr>
  </w:style>
  <w:style w:type="paragraph" w:customStyle="1" w:styleId="xl100">
    <w:name w:val="xl10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color w:val="000000"/>
      <w:sz w:val="16"/>
      <w:szCs w:val="16"/>
    </w:rPr>
  </w:style>
  <w:style w:type="paragraph" w:customStyle="1" w:styleId="xl101">
    <w:name w:val="xl10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02">
    <w:name w:val="xl102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03">
    <w:name w:val="xl10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xl104">
    <w:name w:val="xl104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b/>
      <w:bCs/>
      <w:sz w:val="16"/>
      <w:szCs w:val="16"/>
    </w:rPr>
  </w:style>
  <w:style w:type="paragraph" w:customStyle="1" w:styleId="xl106">
    <w:name w:val="xl106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108">
    <w:name w:val="xl108"/>
    <w:basedOn w:val="Standard"/>
    <w:qFormat/>
    <w:pPr>
      <w:suppressAutoHyphens w:val="0"/>
      <w:spacing w:before="100" w:after="100"/>
      <w:jc w:val="center"/>
      <w:textAlignment w:val="center"/>
    </w:pPr>
    <w:rPr>
      <w:rFonts w:ascii="Czcionka tekstu podstawowego" w:eastAsia="Czcionka tekstu podstawowego" w:hAnsi="Czcionka tekstu podstawowego" w:cs="Czcionka tekstu podstawowego"/>
      <w:sz w:val="16"/>
      <w:szCs w:val="16"/>
    </w:rPr>
  </w:style>
  <w:style w:type="paragraph" w:customStyle="1" w:styleId="xl109">
    <w:name w:val="xl109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" w:hAnsi="Arial" w:cs="Arial"/>
      <w:sz w:val="16"/>
      <w:szCs w:val="16"/>
    </w:rPr>
  </w:style>
  <w:style w:type="paragraph" w:customStyle="1" w:styleId="xl110">
    <w:name w:val="xl110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111">
    <w:name w:val="xl111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112">
    <w:name w:val="xl112"/>
    <w:basedOn w:val="Standard"/>
    <w:qFormat/>
    <w:pP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Standard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1">
    <w:name w:val="Standard1"/>
    <w:qFormat/>
    <w:pPr>
      <w:textAlignment w:val="baseline"/>
    </w:pPr>
    <w:rPr>
      <w:rFonts w:ascii="Times New Roman" w:eastAsia="SimSun, 宋体" w:hAnsi="Times New Roman" w:cs="Times New Roman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  <w:pPr>
      <w:numPr>
        <w:numId w:val="18"/>
      </w:numPr>
    </w:pPr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Kinga</dc:creator>
  <dc:description/>
  <cp:lastModifiedBy>Krzysztof Kliman</cp:lastModifiedBy>
  <cp:revision>7</cp:revision>
  <cp:lastPrinted>2018-11-16T10:17:00Z</cp:lastPrinted>
  <dcterms:created xsi:type="dcterms:W3CDTF">2025-04-08T10:43:00Z</dcterms:created>
  <dcterms:modified xsi:type="dcterms:W3CDTF">2025-04-22T12:08:00Z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